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pPr>
      <w:r>
        <w:rPr>
          <w:rFonts w:ascii="Arial" w:cs="Arial" w:eastAsia="Arial" w:hAnsi="Arial"/>
          <w:b/>
          <w:bCs/>
          <w:color w:val="AAAAAA"/>
          <w:sz w:val="20"/>
          <w:szCs w:val="20"/>
        </w:rPr>
        <w:t xml:space="preserve">USE CASE 05</w:t>
      </w:r>
    </w:p>
    <w:p>
      <w:pPr>
        <w:pBdr>
          <w:bottom w:val="single" w:color="2E75B6" w:sz="8" w:space="4"/>
        </w:pBdr>
        <w:spacing w:after="80"/>
      </w:pPr>
      <w:r>
        <w:rPr>
          <w:rFonts w:ascii="Arial" w:cs="Arial" w:eastAsia="Arial" w:hAnsi="Arial"/>
          <w:b/>
          <w:bCs/>
          <w:color w:val="1F3864"/>
          <w:sz w:val="36"/>
          <w:szCs w:val="36"/>
        </w:rPr>
        <w:t xml:space="preserve">Drafting Reply to GST Show Cause Notice u/s 73 / 74</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c>
          <w:tcPr>
            <w:tcW w:type="dxa" w:w="2340"/>
            <w:tcBorders>
              <w:top w:val="single" w:color="BBBBBB" w:sz="1"/>
              <w:left w:val="single" w:color="BBBBBB" w:sz="1"/>
              <w:bottom w:val="single" w:color="BBBBBB" w:sz="1"/>
              <w:right w:val="single" w:color="BBBBBB" w:sz="1"/>
            </w:tcBorders>
            <w:shd w:fill="1F3864" w:val="clear"/>
            <w:tcMar>
              <w:top w:type="dxa" w:w="80"/>
              <w:left w:type="dxa" w:w="120"/>
              <w:bottom w:type="dxa" w:w="80"/>
              <w:right w:type="dxa" w:w="120"/>
            </w:tcMar>
          </w:tcPr>
          <w:p>
            <w:r>
              <w:rPr>
                <w:rFonts w:ascii="Arial" w:cs="Arial" w:eastAsia="Arial" w:hAnsi="Arial"/>
                <w:b/>
                <w:bCs/>
                <w:color w:val="CCDDFF"/>
                <w:sz w:val="16"/>
                <w:szCs w:val="16"/>
              </w:rPr>
              <w:t xml:space="preserve">DOMAIN</w:t>
            </w:r>
          </w:p>
          <w:p>
            <w:r>
              <w:rPr>
                <w:rFonts w:ascii="Arial" w:cs="Arial" w:eastAsia="Arial" w:hAnsi="Arial"/>
                <w:b/>
                <w:bCs/>
                <w:color w:val="FFFFFF"/>
                <w:sz w:val="20"/>
                <w:szCs w:val="20"/>
              </w:rPr>
              <w:t xml:space="preserve">GST</w:t>
            </w:r>
          </w:p>
        </w:tc>
        <w:tc>
          <w:tcPr>
            <w:tcW w:type="dxa" w:w="2340"/>
            <w:tcBorders>
              <w:top w:val="single" w:color="BBBBBB" w:sz="1"/>
              <w:left w:val="single" w:color="BBBBBB" w:sz="1"/>
              <w:bottom w:val="single" w:color="BBBBBB" w:sz="1"/>
              <w:right w:val="single" w:color="BBBBBB" w:sz="1"/>
            </w:tcBorders>
            <w:shd w:fill="1F3864" w:val="clear"/>
            <w:tcMar>
              <w:top w:type="dxa" w:w="80"/>
              <w:left w:type="dxa" w:w="120"/>
              <w:bottom w:type="dxa" w:w="80"/>
              <w:right w:type="dxa" w:w="120"/>
            </w:tcMar>
          </w:tcPr>
          <w:p>
            <w:r>
              <w:rPr>
                <w:rFonts w:ascii="Arial" w:cs="Arial" w:eastAsia="Arial" w:hAnsi="Arial"/>
                <w:b/>
                <w:bCs/>
                <w:color w:val="CCDDFF"/>
                <w:sz w:val="16"/>
                <w:szCs w:val="16"/>
              </w:rPr>
              <w:t xml:space="preserve">TOOL</w:t>
            </w:r>
          </w:p>
          <w:p>
            <w:r>
              <w:rPr>
                <w:rFonts w:ascii="Arial" w:cs="Arial" w:eastAsia="Arial" w:hAnsi="Arial"/>
                <w:b/>
                <w:bCs/>
                <w:color w:val="FFFFFF"/>
                <w:sz w:val="20"/>
                <w:szCs w:val="20"/>
              </w:rPr>
              <w:t xml:space="preserve">Claude / ChatGPT</w:t>
            </w:r>
          </w:p>
        </w:tc>
        <w:tc>
          <w:tcPr>
            <w:tcW w:type="dxa" w:w="2340"/>
            <w:tcBorders>
              <w:top w:val="single" w:color="BBBBBB" w:sz="1"/>
              <w:left w:val="single" w:color="BBBBBB" w:sz="1"/>
              <w:bottom w:val="single" w:color="BBBBBB" w:sz="1"/>
              <w:right w:val="single" w:color="BBBBBB" w:sz="1"/>
            </w:tcBorders>
            <w:shd w:fill="1F3864" w:val="clear"/>
            <w:tcMar>
              <w:top w:type="dxa" w:w="80"/>
              <w:left w:type="dxa" w:w="120"/>
              <w:bottom w:type="dxa" w:w="80"/>
              <w:right w:type="dxa" w:w="120"/>
            </w:tcMar>
          </w:tcPr>
          <w:p>
            <w:r>
              <w:rPr>
                <w:rFonts w:ascii="Arial" w:cs="Arial" w:eastAsia="Arial" w:hAnsi="Arial"/>
                <w:b/>
                <w:bCs/>
                <w:color w:val="CCDDFF"/>
                <w:sz w:val="16"/>
                <w:szCs w:val="16"/>
              </w:rPr>
              <w:t xml:space="preserve">AUDIENCE</w:t>
            </w:r>
          </w:p>
          <w:p>
            <w:r>
              <w:rPr>
                <w:rFonts w:ascii="Arial" w:cs="Arial" w:eastAsia="Arial" w:hAnsi="Arial"/>
                <w:b/>
                <w:bCs/>
                <w:color w:val="FFFFFF"/>
                <w:sz w:val="20"/>
                <w:szCs w:val="20"/>
              </w:rPr>
              <w:t xml:space="preserve">All CAs</w:t>
            </w:r>
          </w:p>
        </w:tc>
        <w:tc>
          <w:tcPr>
            <w:tcW w:type="dxa" w:w="2340"/>
            <w:tcBorders>
              <w:top w:val="single" w:color="BBBBBB" w:sz="1"/>
              <w:left w:val="single" w:color="BBBBBB" w:sz="1"/>
              <w:bottom w:val="single" w:color="BBBBBB" w:sz="1"/>
              <w:right w:val="single" w:color="BBBBBB" w:sz="1"/>
            </w:tcBorders>
            <w:shd w:fill="1F3864" w:val="clear"/>
            <w:tcMar>
              <w:top w:type="dxa" w:w="80"/>
              <w:left w:type="dxa" w:w="120"/>
              <w:bottom w:type="dxa" w:w="80"/>
              <w:right w:type="dxa" w:w="120"/>
            </w:tcMar>
          </w:tcPr>
          <w:p>
            <w:r>
              <w:rPr>
                <w:rFonts w:ascii="Arial" w:cs="Arial" w:eastAsia="Arial" w:hAnsi="Arial"/>
                <w:b/>
                <w:bCs/>
                <w:color w:val="CCDDFF"/>
                <w:sz w:val="16"/>
                <w:szCs w:val="16"/>
              </w:rPr>
              <w:t xml:space="preserve">COMPLEXITY</w:t>
            </w:r>
          </w:p>
          <w:p>
            <w:r>
              <w:rPr>
                <w:rFonts w:ascii="Arial" w:cs="Arial" w:eastAsia="Arial" w:hAnsi="Arial"/>
                <w:b/>
                <w:bCs/>
                <w:color w:val="FFFFFF"/>
                <w:sz w:val="20"/>
                <w:szCs w:val="20"/>
              </w:rPr>
              <w:t xml:space="preserve">Advanced</w:t>
            </w:r>
          </w:p>
        </w:tc>
      </w:tr>
    </w:tbl>
    <w:p>
      <w:pPr>
        <w:spacing w:after="80"/>
      </w:pPr>
      <w:r>
        <w:t xml:space="preserve"/>
      </w:r>
    </w:p>
    <w:p>
      <w:pPr>
        <w:spacing w:after="80"/>
      </w:pPr>
      <w:r>
        <w:t xml:space="preserve"/>
      </w:r>
    </w:p>
    <w:p>
      <w:pPr>
        <w:shd w:fill="2E75B6" w:val="clear"/>
        <w:spacing w:after="0" w:before="240"/>
      </w:pPr>
      <w:r>
        <w:rPr>
          <w:rFonts w:ascii="Arial" w:cs="Arial" w:eastAsia="Arial" w:hAnsi="Arial"/>
          <w:b/>
          <w:bCs/>
          <w:color w:val="FFFFFF"/>
          <w:sz w:val="20"/>
          <w:szCs w:val="20"/>
        </w:rPr>
        <w:t xml:space="preserve">THE PROBLEM</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single" w:color="BBBBBB" w:sz="1"/>
              <w:left w:val="single" w:color="BBBBBB" w:sz="1"/>
              <w:bottom w:val="single" w:color="BBBBBB" w:sz="1"/>
              <w:right w:val="single" w:color="BBBBBB" w:sz="1"/>
            </w:tcBorders>
            <w:shd w:fill="F2F2F2" w:val="clear"/>
            <w:tcMar>
              <w:top w:type="dxa" w:w="80"/>
              <w:left w:type="dxa" w:w="120"/>
              <w:bottom w:type="dxa" w:w="80"/>
              <w:right w:type="dxa" w:w="120"/>
            </w:tcMar>
            <w:vAlign w:val="top"/>
          </w:tcPr>
          <w:p>
            <w:r>
              <w:rPr>
                <w:rFonts w:ascii="Arial" w:cs="Arial" w:eastAsia="Arial" w:hAnsi="Arial"/>
                <w:b/>
                <w:bCs/>
                <w:color w:val="1F3864"/>
                <w:sz w:val="20"/>
                <w:szCs w:val="20"/>
              </w:rPr>
              <w:t xml:space="preserve"/>
            </w:r>
          </w:p>
        </w:tc>
        <w:tc>
          <w:tcPr>
            <w:tcW w:type="dxa" w:w="7360"/>
            <w:tcBorders>
              <w:top w:val="single" w:color="BBBBBB" w:sz="1"/>
              <w:left w:val="single" w:color="BBBBBB" w:sz="1"/>
              <w:bottom w:val="single" w:color="BBBBBB" w:sz="1"/>
              <w:right w:val="single" w:color="BBBBBB" w:sz="1"/>
            </w:tcBorders>
            <w:shd w:fill="F9F9F9" w:val="clear"/>
            <w:tcMar>
              <w:top w:type="dxa" w:w="80"/>
              <w:left w:type="dxa" w:w="120"/>
              <w:bottom w:type="dxa" w:w="80"/>
              <w:right w:type="dxa" w:w="120"/>
            </w:tcMar>
          </w:tcPr>
          <w:p>
            <w:pPr>
              <w:spacing w:after="40"/>
            </w:pPr>
            <w:r>
              <w:rPr>
                <w:rFonts w:ascii="Arial" w:cs="Arial" w:eastAsia="Arial" w:hAnsi="Arial"/>
                <w:sz w:val="20"/>
                <w:szCs w:val="20"/>
              </w:rPr>
              <w:t xml:space="preserve">GST Show Cause Notices under Section 73 and 74 have surged since FY 2021-22. The most common ground in current practice is disallowance of Input Tax Credit claimed from suppliers whose registrations were subsequently cancelled retrospectively by the department.</w:t>
            </w:r>
          </w:p>
          <w:p>
            <w:pPr>
              <w:spacing w:after="60"/>
            </w:pPr>
            <w:r>
              <w:rPr>
                <w:rFonts w:ascii="Arial" w:cs="Arial" w:eastAsia="Arial" w:hAnsi="Arial"/>
                <w:sz w:val="20"/>
                <w:szCs w:val="20"/>
              </w:rPr>
              <w:t xml:space="preserve"/>
            </w:r>
          </w:p>
          <w:p>
            <w:pPr>
              <w:spacing w:after="40"/>
            </w:pPr>
            <w:r>
              <w:rPr>
                <w:rFonts w:ascii="Arial" w:cs="Arial" w:eastAsia="Arial" w:hAnsi="Arial"/>
                <w:sz w:val="20"/>
                <w:szCs w:val="20"/>
              </w:rPr>
              <w:t xml:space="preserve">The recipient had no way to know the supplier would default. The transactions were genuine, invoices were valid, goods were received, and payments were made through banking channels. Yet the department denies ITC under Section 16(2)(c) on the ground that the supplier did not deposit tax.</w:t>
            </w:r>
          </w:p>
          <w:p>
            <w:pPr>
              <w:spacing w:after="60"/>
            </w:pPr>
            <w:r>
              <w:rPr>
                <w:rFonts w:ascii="Arial" w:cs="Arial" w:eastAsia="Arial" w:hAnsi="Arial"/>
                <w:sz w:val="20"/>
                <w:szCs w:val="20"/>
              </w:rPr>
              <w:t xml:space="preserve"/>
            </w:r>
          </w:p>
          <w:p>
            <w:pPr>
              <w:spacing w:after="40"/>
            </w:pPr>
            <w:r>
              <w:rPr>
                <w:rFonts w:ascii="Arial" w:cs="Arial" w:eastAsia="Arial" w:hAnsi="Arial"/>
                <w:sz w:val="20"/>
                <w:szCs w:val="20"/>
              </w:rPr>
              <w:t xml:space="preserve">Drafting a reply that correctly distinguishes the recipient's bona fide position from supplier default — and cites the evolving judicial position on this issue — requires research, legal drafting skill, and time. Most practitioners spend 3 to 4 hours on a single well-argued reply.</w:t>
            </w:r>
          </w:p>
        </w:tc>
      </w:tr>
    </w:tbl>
    <w:p>
      <w:pPr>
        <w:spacing w:after="80"/>
      </w:pPr>
      <w:r>
        <w:t xml:space="preserve"/>
      </w:r>
    </w:p>
    <w:p>
      <w:pPr>
        <w:shd w:fill="2E75B6" w:val="clear"/>
        <w:spacing w:after="0" w:before="240"/>
      </w:pPr>
      <w:r>
        <w:rPr>
          <w:rFonts w:ascii="Arial" w:cs="Arial" w:eastAsia="Arial" w:hAnsi="Arial"/>
          <w:b/>
          <w:bCs/>
          <w:color w:val="FFFFFF"/>
          <w:sz w:val="20"/>
          <w:szCs w:val="20"/>
        </w:rPr>
        <w:t xml:space="preserve">THE AI / AUTOMATION SOLUTION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single" w:color="BBBBBB" w:sz="1"/>
              <w:left w:val="single" w:color="BBBBBB" w:sz="1"/>
              <w:bottom w:val="single" w:color="BBBBBB" w:sz="1"/>
              <w:right w:val="single" w:color="BBBBBB" w:sz="1"/>
            </w:tcBorders>
            <w:shd w:fill="F2F2F2" w:val="clear"/>
            <w:tcMar>
              <w:top w:type="dxa" w:w="80"/>
              <w:left w:type="dxa" w:w="120"/>
              <w:bottom w:type="dxa" w:w="80"/>
              <w:right w:type="dxa" w:w="120"/>
            </w:tcMar>
            <w:vAlign w:val="top"/>
          </w:tcPr>
          <w:p>
            <w:r>
              <w:rPr>
                <w:rFonts w:ascii="Arial" w:cs="Arial" w:eastAsia="Arial" w:hAnsi="Arial"/>
                <w:b/>
                <w:bCs/>
                <w:color w:val="1F3864"/>
                <w:sz w:val="20"/>
                <w:szCs w:val="20"/>
              </w:rPr>
              <w:t xml:space="preserve"/>
            </w:r>
          </w:p>
        </w:tc>
        <w:tc>
          <w:tcPr>
            <w:tcW w:type="dxa" w:w="7360"/>
            <w:tcBorders>
              <w:top w:val="single" w:color="BBBBBB" w:sz="1"/>
              <w:left w:val="single" w:color="BBBBBB" w:sz="1"/>
              <w:bottom w:val="single" w:color="BBBBBB" w:sz="1"/>
              <w:right w:val="single" w:color="BBBBBB" w:sz="1"/>
            </w:tcBorders>
            <w:shd w:fill="FFFFFF" w:val="clear"/>
            <w:tcMar>
              <w:top w:type="dxa" w:w="80"/>
              <w:left w:type="dxa" w:w="120"/>
              <w:bottom w:type="dxa" w:w="80"/>
              <w:right w:type="dxa" w:w="120"/>
            </w:tcMar>
          </w:tcPr>
          <w:p>
            <w:pPr>
              <w:spacing w:after="40"/>
            </w:pPr>
            <w:r>
              <w:rPr>
                <w:rFonts w:ascii="Arial" w:cs="Arial" w:eastAsia="Arial" w:hAnsi="Arial"/>
                <w:sz w:val="20"/>
                <w:szCs w:val="20"/>
              </w:rPr>
              <w:t xml:space="preserve">The CA provides Claude with the SCN facts — the specific ITC disallowed, the suppliers, the amounts, the defence available. Claude drafts a structured reply covering every ground of the notice:</w:t>
            </w:r>
          </w:p>
          <w:p>
            <w:pPr>
              <w:spacing w:after="60"/>
            </w:pPr>
            <w:r>
              <w:rPr>
                <w:rFonts w:ascii="Arial" w:cs="Arial" w:eastAsia="Arial" w:hAnsi="Arial"/>
                <w:sz w:val="20"/>
                <w:szCs w:val="20"/>
              </w:rPr>
              <w:t xml:space="preserve"/>
            </w:r>
          </w:p>
          <w:p>
            <w:pPr>
              <w:spacing w:after="40"/>
            </w:pPr>
            <w:r>
              <w:rPr>
                <w:rFonts w:ascii="Arial" w:cs="Arial" w:eastAsia="Arial" w:hAnsi="Arial"/>
                <w:sz w:val="20"/>
                <w:szCs w:val="20"/>
              </w:rPr>
              <w:t xml:space="preserve">Legal argument on Section 16(2)(c): the liability to deposit tax lies with the supplier, not the recipient. A bona fide recipient who held valid invoices, verified GSTIN status, received goods, and paid through banking channels is protected.</w:t>
            </w:r>
          </w:p>
          <w:p>
            <w:pPr>
              <w:spacing w:after="60"/>
            </w:pPr>
            <w:r>
              <w:rPr>
                <w:rFonts w:ascii="Arial" w:cs="Arial" w:eastAsia="Arial" w:hAnsi="Arial"/>
                <w:sz w:val="20"/>
                <w:szCs w:val="20"/>
              </w:rPr>
              <w:t xml:space="preserve"/>
            </w:r>
          </w:p>
          <w:p>
            <w:pPr>
              <w:spacing w:after="40"/>
            </w:pPr>
            <w:r>
              <w:rPr>
                <w:rFonts w:ascii="Arial" w:cs="Arial" w:eastAsia="Arial" w:hAnsi="Arial"/>
                <w:sz w:val="20"/>
                <w:szCs w:val="20"/>
              </w:rPr>
              <w:t xml:space="preserve">Argument on retrospective cancellation: supplier registration was valid on the date of transaction. Retrospective cancellation cannot invalidate ITC already legitimately availed.</w:t>
            </w:r>
          </w:p>
          <w:p>
            <w:pPr>
              <w:spacing w:after="60"/>
            </w:pPr>
            <w:r>
              <w:rPr>
                <w:rFonts w:ascii="Arial" w:cs="Arial" w:eastAsia="Arial" w:hAnsi="Arial"/>
                <w:sz w:val="20"/>
                <w:szCs w:val="20"/>
              </w:rPr>
              <w:t xml:space="preserve"/>
            </w:r>
          </w:p>
          <w:p>
            <w:pPr>
              <w:spacing w:after="40"/>
            </w:pPr>
            <w:r>
              <w:rPr>
                <w:rFonts w:ascii="Arial" w:cs="Arial" w:eastAsia="Arial" w:hAnsi="Arial"/>
                <w:sz w:val="20"/>
                <w:szCs w:val="20"/>
              </w:rPr>
              <w:t xml:space="preserve">Penalty defence under Section 73: no fraud alleged, no wilful misstatement — penalty is not automatic.</w:t>
            </w:r>
          </w:p>
          <w:p>
            <w:pPr>
              <w:spacing w:after="60"/>
            </w:pPr>
            <w:r>
              <w:rPr>
                <w:rFonts w:ascii="Arial" w:cs="Arial" w:eastAsia="Arial" w:hAnsi="Arial"/>
                <w:sz w:val="20"/>
                <w:szCs w:val="20"/>
              </w:rPr>
              <w:t xml:space="preserve"/>
            </w:r>
          </w:p>
          <w:p>
            <w:pPr>
              <w:spacing w:after="40"/>
            </w:pPr>
            <w:r>
              <w:rPr>
                <w:rFonts w:ascii="Arial" w:cs="Arial" w:eastAsia="Arial" w:hAnsi="Arial"/>
                <w:sz w:val="20"/>
                <w:szCs w:val="20"/>
              </w:rPr>
              <w:t xml:space="preserve">Prayer covering all reliefs. Case laws and CBIC circular references included automatically. Total drafting time under 3 minutes.</w:t>
            </w:r>
          </w:p>
        </w:tc>
      </w:tr>
    </w:tbl>
    <w:p>
      <w:pPr>
        <w:spacing w:after="80"/>
      </w:pPr>
      <w:r>
        <w:t xml:space="preserve"/>
      </w:r>
    </w:p>
    <w:p>
      <w:pPr>
        <w:shd w:fill="2E75B6" w:val="clear"/>
        <w:spacing w:after="0" w:before="240"/>
      </w:pPr>
      <w:r>
        <w:rPr>
          <w:rFonts w:ascii="Arial" w:cs="Arial" w:eastAsia="Arial" w:hAnsi="Arial"/>
          <w:b/>
          <w:bCs/>
          <w:color w:val="FFFFFF"/>
          <w:sz w:val="20"/>
          <w:szCs w:val="20"/>
        </w:rPr>
        <w:t xml:space="preserve">SCN SCENARIO — WORKSHOP DEMO</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single" w:color="BBBBBB" w:sz="1"/>
              <w:left w:val="single" w:color="BBBBBB" w:sz="1"/>
              <w:bottom w:val="single" w:color="BBBBBB" w:sz="1"/>
              <w:right w:val="single" w:color="BBBBBB" w:sz="1"/>
            </w:tcBorders>
            <w:shd w:fill="F2F2F2" w:val="clear"/>
            <w:tcMar>
              <w:top w:type="dxa" w:w="80"/>
              <w:left w:type="dxa" w:w="120"/>
              <w:bottom w:type="dxa" w:w="80"/>
              <w:right w:type="dxa" w:w="120"/>
            </w:tcMar>
            <w:vAlign w:val="top"/>
          </w:tcPr>
          <w:p>
            <w:r>
              <w:rPr>
                <w:rFonts w:ascii="Arial" w:cs="Arial" w:eastAsia="Arial" w:hAnsi="Arial"/>
                <w:b/>
                <w:bCs/>
                <w:color w:val="1F3864"/>
                <w:sz w:val="20"/>
                <w:szCs w:val="20"/>
              </w:rPr>
              <w:t xml:space="preserve"/>
            </w:r>
          </w:p>
        </w:tc>
        <w:tc>
          <w:tcPr>
            <w:tcW w:type="dxa" w:w="7360"/>
            <w:tcBorders>
              <w:top w:val="single" w:color="BBBBBB" w:sz="1"/>
              <w:left w:val="single" w:color="BBBBBB" w:sz="1"/>
              <w:bottom w:val="single" w:color="BBBBBB" w:sz="1"/>
              <w:right w:val="single" w:color="BBBBBB" w:sz="1"/>
            </w:tcBorders>
            <w:shd w:fill="F9F9F9" w:val="clear"/>
            <w:tcMar>
              <w:top w:type="dxa" w:w="80"/>
              <w:left w:type="dxa" w:w="120"/>
              <w:bottom w:type="dxa" w:w="80"/>
              <w:right w:type="dxa" w:w="120"/>
            </w:tcMar>
          </w:tcPr>
          <w:p>
            <w:pPr>
              <w:spacing w:after="40"/>
            </w:pPr>
            <w:r>
              <w:rPr>
                <w:rFonts w:ascii="Arial" w:cs="Arial" w:eastAsia="Arial" w:hAnsi="Arial"/>
                <w:sz w:val="20"/>
                <w:szCs w:val="20"/>
              </w:rPr>
              <w:t xml:space="preserve">Assessee  : M/s Horizon Pharma Distributors (dummy name)</w:t>
            </w:r>
          </w:p>
          <w:p>
            <w:pPr>
              <w:spacing w:after="40"/>
            </w:pPr>
            <w:r>
              <w:rPr>
                <w:rFonts w:ascii="Arial" w:cs="Arial" w:eastAsia="Arial" w:hAnsi="Arial"/>
                <w:sz w:val="20"/>
                <w:szCs w:val="20"/>
              </w:rPr>
              <w:t xml:space="preserve">GSTIN     : 27AABFH4821K1ZP (dummy)</w:t>
            </w:r>
          </w:p>
          <w:p>
            <w:pPr>
              <w:spacing w:after="40"/>
            </w:pPr>
            <w:r>
              <w:rPr>
                <w:rFonts w:ascii="Arial" w:cs="Arial" w:eastAsia="Arial" w:hAnsi="Arial"/>
                <w:sz w:val="20"/>
                <w:szCs w:val="20"/>
              </w:rPr>
              <w:t xml:space="preserve">Period    : FY 2021-22</w:t>
            </w:r>
          </w:p>
          <w:p>
            <w:pPr>
              <w:spacing w:after="40"/>
            </w:pPr>
            <w:r>
              <w:rPr>
                <w:rFonts w:ascii="Arial" w:cs="Arial" w:eastAsia="Arial" w:hAnsi="Arial"/>
                <w:sz w:val="20"/>
                <w:szCs w:val="20"/>
              </w:rPr>
              <w:t xml:space="preserve">Issue     : ITC of Rs.18,42,000/- on purchases from 4 suppliers whose</w:t>
            </w:r>
          </w:p>
          <w:p>
            <w:pPr>
              <w:spacing w:after="40"/>
            </w:pPr>
            <w:r>
              <w:rPr>
                <w:rFonts w:ascii="Arial" w:cs="Arial" w:eastAsia="Arial" w:hAnsi="Arial"/>
                <w:sz w:val="20"/>
                <w:szCs w:val="20"/>
              </w:rPr>
              <w:t xml:space="preserve">            registrations were cancelled retrospectively</w:t>
            </w:r>
          </w:p>
          <w:p>
            <w:pPr>
              <w:spacing w:after="40"/>
            </w:pPr>
            <w:r>
              <w:rPr>
                <w:rFonts w:ascii="Arial" w:cs="Arial" w:eastAsia="Arial" w:hAnsi="Arial"/>
                <w:sz w:val="20"/>
                <w:szCs w:val="20"/>
              </w:rPr>
              <w:t xml:space="preserve">Section   : 73 — no fraud alleged</w:t>
            </w:r>
          </w:p>
          <w:p>
            <w:pPr>
              <w:spacing w:after="40"/>
            </w:pPr>
            <w:r>
              <w:rPr>
                <w:rFonts w:ascii="Arial" w:cs="Arial" w:eastAsia="Arial" w:hAnsi="Arial"/>
                <w:sz w:val="20"/>
                <w:szCs w:val="20"/>
              </w:rPr>
              <w:t xml:space="preserve">Demand    : Tax Rs.18,42,000/- + Interest u/s 50 + Penalty u/s 73(9)</w:t>
            </w:r>
          </w:p>
        </w:tc>
      </w:tr>
    </w:tbl>
    <w:p>
      <w:pPr>
        <w:spacing w:after="80"/>
      </w:pPr>
      <w:r>
        <w:t xml:space="preserve"/>
      </w:r>
    </w:p>
    <w:p>
      <w:pPr>
        <w:shd w:fill="2E75B6" w:val="clear"/>
        <w:spacing w:after="0" w:before="240"/>
      </w:pPr>
      <w:r>
        <w:rPr>
          <w:rFonts w:ascii="Arial" w:cs="Arial" w:eastAsia="Arial" w:hAnsi="Arial"/>
          <w:b/>
          <w:bCs/>
          <w:color w:val="FFFFFF"/>
          <w:sz w:val="20"/>
          <w:szCs w:val="20"/>
        </w:rPr>
        <w:t xml:space="preserve">LIVE DEMO PROMPT</w:t>
      </w:r>
    </w:p>
    <w:p>
      <w:pPr>
        <w:spacing w:after="120" w:before="120"/>
      </w:pPr>
      <w:r>
        <w:rPr>
          <w:rFonts w:ascii="Arial" w:cs="Arial" w:eastAsia="Arial" w:hAnsi="Arial"/>
          <w:i/>
          <w:iCs/>
          <w:color w:val="555555"/>
          <w:sz w:val="18"/>
          <w:szCs w:val="18"/>
        </w:rPr>
        <w:t xml:space="preserve">Full prompt with scenario details is in the accompanying file: UC05_live_demo_prompt.txt. Core prompt below:</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E75B6" w:sz="4"/>
              <w:left w:val="thick" w:color="2E75B6" w:sz="12"/>
              <w:bottom w:val="single" w:color="2E75B6" w:sz="4"/>
              <w:right w:val="single" w:color="2E75B6" w:sz="4"/>
            </w:tcBorders>
            <w:shd w:fill="EAF3FF" w:val="clear"/>
            <w:tcMar>
              <w:top w:type="dxa" w:w="120"/>
              <w:left w:type="dxa" w:w="200"/>
              <w:bottom w:type="dxa" w:w="120"/>
              <w:right w:type="dxa" w:w="200"/>
            </w:tcMar>
          </w:tcPr>
          <w:p>
            <w:pPr>
              <w:spacing w:after="30"/>
            </w:pPr>
            <w:r>
              <w:rPr>
                <w:rFonts w:ascii="Courier New" w:cs="Courier New" w:eastAsia="Courier New" w:hAnsi="Courier New"/>
                <w:color w:val="1A1A2E"/>
                <w:sz w:val="18"/>
                <w:szCs w:val="18"/>
              </w:rPr>
              <w:t xml:space="preserve">You are a GST consultant representing M/s Horizon Pharma Distributors,</w:t>
            </w:r>
          </w:p>
          <w:p>
            <w:pPr>
              <w:spacing w:after="30"/>
            </w:pPr>
            <w:r>
              <w:rPr>
                <w:rFonts w:ascii="Courier New" w:cs="Courier New" w:eastAsia="Courier New" w:hAnsi="Courier New"/>
                <w:color w:val="1A1A2E"/>
                <w:sz w:val="18"/>
                <w:szCs w:val="18"/>
              </w:rPr>
              <w:t xml:space="preserve">GSTIN: 27AABFH4821K1ZP, Maharashtra, in proceedings for FY 2021-22.</w:t>
            </w:r>
          </w:p>
          <w:p>
            <w:pPr>
              <w:spacing w:after="80"/>
            </w:pPr>
            <w:r>
              <w:rPr>
                <w:rFonts w:ascii="Courier New" w:cs="Courier New" w:eastAsia="Courier New" w:hAnsi="Courier New"/>
                <w:color w:val="1A1A2E"/>
                <w:sz w:val="18"/>
                <w:szCs w:val="18"/>
              </w:rPr>
              <w:t xml:space="preserve"/>
            </w:r>
          </w:p>
          <w:p>
            <w:pPr>
              <w:spacing w:after="30"/>
            </w:pPr>
            <w:r>
              <w:rPr>
                <w:rFonts w:ascii="Courier New" w:cs="Courier New" w:eastAsia="Courier New" w:hAnsi="Courier New"/>
                <w:color w:val="1A1A2E"/>
                <w:sz w:val="18"/>
                <w:szCs w:val="18"/>
              </w:rPr>
              <w:t xml:space="preserve">SCN u/s 73 proposes: disallowance of ITC Rs.18,42,000/- on purchases from</w:t>
            </w:r>
          </w:p>
          <w:p>
            <w:pPr>
              <w:spacing w:after="30"/>
            </w:pPr>
            <w:r>
              <w:rPr>
                <w:rFonts w:ascii="Courier New" w:cs="Courier New" w:eastAsia="Courier New" w:hAnsi="Courier New"/>
                <w:color w:val="1A1A2E"/>
                <w:sz w:val="18"/>
                <w:szCs w:val="18"/>
              </w:rPr>
              <w:t xml:space="preserve">4 suppliers whose registrations were retrospectively cancelled.</w:t>
            </w:r>
          </w:p>
          <w:p>
            <w:pPr>
              <w:spacing w:after="30"/>
            </w:pPr>
            <w:r>
              <w:rPr>
                <w:rFonts w:ascii="Courier New" w:cs="Courier New" w:eastAsia="Courier New" w:hAnsi="Courier New"/>
                <w:color w:val="1A1A2E"/>
                <w:sz w:val="18"/>
                <w:szCs w:val="18"/>
              </w:rPr>
              <w:t xml:space="preserve">Department contention: ITC inadmissible u/s 16(2)(c) — supplier did not</w:t>
            </w:r>
          </w:p>
          <w:p>
            <w:pPr>
              <w:spacing w:after="30"/>
            </w:pPr>
            <w:r>
              <w:rPr>
                <w:rFonts w:ascii="Courier New" w:cs="Courier New" w:eastAsia="Courier New" w:hAnsi="Courier New"/>
                <w:color w:val="1A1A2E"/>
                <w:sz w:val="18"/>
                <w:szCs w:val="18"/>
              </w:rPr>
              <w:t xml:space="preserve">deposit tax.</w:t>
            </w:r>
          </w:p>
          <w:p>
            <w:pPr>
              <w:spacing w:after="80"/>
            </w:pPr>
            <w:r>
              <w:rPr>
                <w:rFonts w:ascii="Courier New" w:cs="Courier New" w:eastAsia="Courier New" w:hAnsi="Courier New"/>
                <w:color w:val="1A1A2E"/>
                <w:sz w:val="18"/>
                <w:szCs w:val="18"/>
              </w:rPr>
              <w:t xml:space="preserve"/>
            </w:r>
          </w:p>
          <w:p>
            <w:pPr>
              <w:spacing w:after="30"/>
            </w:pPr>
            <w:r>
              <w:rPr>
                <w:rFonts w:ascii="Courier New" w:cs="Courier New" w:eastAsia="Courier New" w:hAnsi="Courier New"/>
                <w:color w:val="1A1A2E"/>
                <w:sz w:val="18"/>
                <w:szCs w:val="18"/>
              </w:rPr>
              <w:t xml:space="preserve">Defence facts:</w:t>
            </w:r>
          </w:p>
          <w:p>
            <w:pPr>
              <w:spacing w:after="30"/>
            </w:pPr>
            <w:r>
              <w:rPr>
                <w:rFonts w:ascii="Courier New" w:cs="Courier New" w:eastAsia="Courier New" w:hAnsi="Courier New"/>
                <w:color w:val="1A1A2E"/>
                <w:sz w:val="18"/>
                <w:szCs w:val="18"/>
              </w:rPr>
              <w:t xml:space="preserve">- All suppliers were active registered dealers at time of purchase</w:t>
            </w:r>
          </w:p>
          <w:p>
            <w:pPr>
              <w:spacing w:after="30"/>
            </w:pPr>
            <w:r>
              <w:rPr>
                <w:rFonts w:ascii="Courier New" w:cs="Courier New" w:eastAsia="Courier New" w:hAnsi="Courier New"/>
                <w:color w:val="1A1A2E"/>
                <w:sz w:val="18"/>
                <w:szCs w:val="18"/>
              </w:rPr>
              <w:t xml:space="preserve">- Valid tax invoices held, goods received, full payment via RTGS/NEFT</w:t>
            </w:r>
          </w:p>
          <w:p>
            <w:pPr>
              <w:spacing w:after="30"/>
            </w:pPr>
            <w:r>
              <w:rPr>
                <w:rFonts w:ascii="Courier New" w:cs="Courier New" w:eastAsia="Courier New" w:hAnsi="Courier New"/>
                <w:color w:val="1A1A2E"/>
                <w:sz w:val="18"/>
                <w:szCs w:val="18"/>
              </w:rPr>
              <w:t xml:space="preserve">- GSTIN verified on portal at time of purchase — all active</w:t>
            </w:r>
          </w:p>
          <w:p>
            <w:pPr>
              <w:spacing w:after="30"/>
            </w:pPr>
            <w:r>
              <w:rPr>
                <w:rFonts w:ascii="Courier New" w:cs="Courier New" w:eastAsia="Courier New" w:hAnsi="Courier New"/>
                <w:color w:val="1A1A2E"/>
                <w:sz w:val="18"/>
                <w:szCs w:val="18"/>
              </w:rPr>
              <w:t xml:space="preserve">- ITC reflected in GSTR-2A/2B for relevant periods</w:t>
            </w:r>
          </w:p>
          <w:p>
            <w:pPr>
              <w:spacing w:after="30"/>
            </w:pPr>
            <w:r>
              <w:rPr>
                <w:rFonts w:ascii="Courier New" w:cs="Courier New" w:eastAsia="Courier New" w:hAnsi="Courier New"/>
                <w:color w:val="1A1A2E"/>
                <w:sz w:val="18"/>
                <w:szCs w:val="18"/>
              </w:rPr>
              <w:t xml:space="preserve">- Assessee had no knowledge of supplier fraud</w:t>
            </w:r>
          </w:p>
          <w:p>
            <w:pPr>
              <w:spacing w:after="30"/>
            </w:pPr>
            <w:r>
              <w:rPr>
                <w:rFonts w:ascii="Courier New" w:cs="Courier New" w:eastAsia="Courier New" w:hAnsi="Courier New"/>
                <w:color w:val="1A1A2E"/>
                <w:sz w:val="18"/>
                <w:szCs w:val="18"/>
              </w:rPr>
              <w:t xml:space="preserve">- Retrospective cancellation done after transactions completed</w:t>
            </w:r>
          </w:p>
          <w:p>
            <w:pPr>
              <w:spacing w:after="80"/>
            </w:pPr>
            <w:r>
              <w:rPr>
                <w:rFonts w:ascii="Courier New" w:cs="Courier New" w:eastAsia="Courier New" w:hAnsi="Courier New"/>
                <w:color w:val="1A1A2E"/>
                <w:sz w:val="18"/>
                <w:szCs w:val="18"/>
              </w:rPr>
              <w:t xml:space="preserve"/>
            </w:r>
          </w:p>
          <w:p>
            <w:pPr>
              <w:spacing w:after="30"/>
            </w:pPr>
            <w:r>
              <w:rPr>
                <w:rFonts w:ascii="Courier New" w:cs="Courier New" w:eastAsia="Courier New" w:hAnsi="Courier New"/>
                <w:color w:val="1A1A2E"/>
                <w:sz w:val="18"/>
                <w:szCs w:val="18"/>
              </w:rPr>
              <w:t xml:space="preserve">Draft a complete reply addressing:</w:t>
            </w:r>
          </w:p>
          <w:p>
            <w:pPr>
              <w:spacing w:after="30"/>
            </w:pPr>
            <w:r>
              <w:rPr>
                <w:rFonts w:ascii="Courier New" w:cs="Courier New" w:eastAsia="Courier New" w:hAnsi="Courier New"/>
                <w:color w:val="1A1A2E"/>
                <w:sz w:val="18"/>
                <w:szCs w:val="18"/>
              </w:rPr>
              <w:t xml:space="preserve">1. Section 16(2)(c) — recipient protection argument</w:t>
            </w:r>
          </w:p>
          <w:p>
            <w:pPr>
              <w:spacing w:after="30"/>
            </w:pPr>
            <w:r>
              <w:rPr>
                <w:rFonts w:ascii="Courier New" w:cs="Courier New" w:eastAsia="Courier New" w:hAnsi="Courier New"/>
                <w:color w:val="1A1A2E"/>
                <w:sz w:val="18"/>
                <w:szCs w:val="18"/>
              </w:rPr>
              <w:t xml:space="preserve">2. Retrospective cancellation — cannot invalidate past ITC</w:t>
            </w:r>
          </w:p>
          <w:p>
            <w:pPr>
              <w:spacing w:after="30"/>
            </w:pPr>
            <w:r>
              <w:rPr>
                <w:rFonts w:ascii="Courier New" w:cs="Courier New" w:eastAsia="Courier New" w:hAnsi="Courier New"/>
                <w:color w:val="1A1A2E"/>
                <w:sz w:val="18"/>
                <w:szCs w:val="18"/>
              </w:rPr>
              <w:t xml:space="preserve">3. Constitutional principles — arbitrary denial of legitimate ITC</w:t>
            </w:r>
          </w:p>
          <w:p>
            <w:pPr>
              <w:spacing w:after="30"/>
            </w:pPr>
            <w:r>
              <w:rPr>
                <w:rFonts w:ascii="Courier New" w:cs="Courier New" w:eastAsia="Courier New" w:hAnsi="Courier New"/>
                <w:color w:val="1A1A2E"/>
                <w:sz w:val="18"/>
                <w:szCs w:val="18"/>
              </w:rPr>
              <w:t xml:space="preserve">4. Penalty u/s 73(9) — no fraud, no automatic penalty</w:t>
            </w:r>
          </w:p>
          <w:p>
            <w:pPr>
              <w:spacing w:after="30"/>
            </w:pPr>
            <w:r>
              <w:rPr>
                <w:rFonts w:ascii="Courier New" w:cs="Courier New" w:eastAsia="Courier New" w:hAnsi="Courier New"/>
                <w:color w:val="1A1A2E"/>
                <w:sz w:val="18"/>
                <w:szCs w:val="18"/>
              </w:rPr>
              <w:t xml:space="preserve">5. Prayer for dropping SCN</w:t>
            </w:r>
          </w:p>
          <w:p>
            <w:pPr>
              <w:spacing w:after="80"/>
            </w:pPr>
            <w:r>
              <w:rPr>
                <w:rFonts w:ascii="Courier New" w:cs="Courier New" w:eastAsia="Courier New" w:hAnsi="Courier New"/>
                <w:color w:val="1A1A2E"/>
                <w:sz w:val="18"/>
                <w:szCs w:val="18"/>
              </w:rPr>
              <w:t xml:space="preserve"/>
            </w:r>
          </w:p>
          <w:p>
            <w:pPr>
              <w:spacing w:after="30"/>
            </w:pPr>
            <w:r>
              <w:rPr>
                <w:rFonts w:ascii="Courier New" w:cs="Courier New" w:eastAsia="Courier New" w:hAnsi="Courier New"/>
                <w:color w:val="1A1A2E"/>
                <w:sz w:val="18"/>
                <w:szCs w:val="18"/>
              </w:rPr>
              <w:t xml:space="preserve">Cite minimum 4 judicial precedents. Reference CGST Act sections</w:t>
            </w:r>
          </w:p>
          <w:p>
            <w:pPr>
              <w:spacing w:after="30"/>
            </w:pPr>
            <w:r>
              <w:rPr>
                <w:rFonts w:ascii="Courier New" w:cs="Courier New" w:eastAsia="Courier New" w:hAnsi="Courier New"/>
                <w:color w:val="1A1A2E"/>
                <w:sz w:val="18"/>
                <w:szCs w:val="18"/>
              </w:rPr>
              <w:t xml:space="preserve">and relevant CBIC circulars. Use formal GST adjudication language.</w:t>
            </w:r>
          </w:p>
        </w:tc>
      </w:tr>
    </w:tbl>
    <w:p>
      <w:pPr>
        <w:spacing w:after="80"/>
      </w:pPr>
      <w:r>
        <w:t xml:space="preserve"/>
      </w:r>
    </w:p>
    <w:p>
      <w:pPr>
        <w:shd w:fill="2E75B6" w:val="clear"/>
        <w:spacing w:after="0" w:before="240"/>
      </w:pPr>
      <w:r>
        <w:rPr>
          <w:rFonts w:ascii="Arial" w:cs="Arial" w:eastAsia="Arial" w:hAnsi="Arial"/>
          <w:b/>
          <w:bCs/>
          <w:color w:val="FFFFFF"/>
          <w:sz w:val="20"/>
          <w:szCs w:val="20"/>
        </w:rPr>
        <w:t xml:space="preserve">EXPECTED OUTPUT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single" w:color="BBBBBB" w:sz="1"/>
              <w:left w:val="single" w:color="BBBBBB" w:sz="1"/>
              <w:bottom w:val="single" w:color="BBBBBB" w:sz="1"/>
              <w:right w:val="single" w:color="BBBBBB" w:sz="1"/>
            </w:tcBorders>
            <w:shd w:fill="F2F2F2" w:val="clear"/>
            <w:tcMar>
              <w:top w:type="dxa" w:w="80"/>
              <w:left w:type="dxa" w:w="120"/>
              <w:bottom w:type="dxa" w:w="80"/>
              <w:right w:type="dxa" w:w="120"/>
            </w:tcMar>
            <w:vAlign w:val="top"/>
          </w:tcPr>
          <w:p>
            <w:r>
              <w:rPr>
                <w:rFonts w:ascii="Arial" w:cs="Arial" w:eastAsia="Arial" w:hAnsi="Arial"/>
                <w:b/>
                <w:bCs/>
                <w:color w:val="1F3864"/>
                <w:sz w:val="20"/>
                <w:szCs w:val="20"/>
              </w:rPr>
              <w:t xml:space="preserve"/>
            </w:r>
          </w:p>
        </w:tc>
        <w:tc>
          <w:tcPr>
            <w:tcW w:type="dxa" w:w="7360"/>
            <w:tcBorders>
              <w:top w:val="single" w:color="BBBBBB" w:sz="1"/>
              <w:left w:val="single" w:color="BBBBBB" w:sz="1"/>
              <w:bottom w:val="single" w:color="BBBBBB" w:sz="1"/>
              <w:right w:val="single" w:color="BBBBBB" w:sz="1"/>
            </w:tcBorders>
            <w:shd w:fill="F9F9F9" w:val="clear"/>
            <w:tcMar>
              <w:top w:type="dxa" w:w="80"/>
              <w:left w:type="dxa" w:w="120"/>
              <w:bottom w:type="dxa" w:w="80"/>
              <w:right w:type="dxa" w:w="120"/>
            </w:tcMar>
          </w:tcPr>
          <w:p>
            <w:pPr>
              <w:pStyle w:val="ListParagraph"/>
              <w:numPr>
                <w:ilvl w:val="0"/>
                <w:numId w:val="2"/>
              </w:numPr>
              <w:spacing w:after="60"/>
            </w:pPr>
            <w:r>
              <w:rPr>
                <w:rFonts w:ascii="Arial" w:cs="Arial" w:eastAsia="Arial" w:hAnsi="Arial"/>
                <w:sz w:val="20"/>
                <w:szCs w:val="20"/>
              </w:rPr>
              <w:t xml:space="preserve">A structured reply with numbered grounds — each SCN ground addressed separately with legal argument.</w:t>
            </w:r>
          </w:p>
          <w:p>
            <w:pPr>
              <w:pStyle w:val="ListParagraph"/>
              <w:numPr>
                <w:ilvl w:val="0"/>
                <w:numId w:val="2"/>
              </w:numPr>
              <w:spacing w:after="60"/>
            </w:pPr>
            <w:r>
              <w:rPr>
                <w:rFonts w:ascii="Arial" w:cs="Arial" w:eastAsia="Arial" w:hAnsi="Arial"/>
                <w:sz w:val="20"/>
                <w:szCs w:val="20"/>
              </w:rPr>
              <w:t xml:space="preserve">Section 16(2)(c) argument correctly articulated — supplier liability vs. recipient bona fide position.</w:t>
            </w:r>
          </w:p>
          <w:p>
            <w:pPr>
              <w:pStyle w:val="ListParagraph"/>
              <w:numPr>
                <w:ilvl w:val="0"/>
                <w:numId w:val="2"/>
              </w:numPr>
              <w:spacing w:after="60"/>
            </w:pPr>
            <w:r>
              <w:rPr>
                <w:rFonts w:ascii="Arial" w:cs="Arial" w:eastAsia="Arial" w:hAnsi="Arial"/>
                <w:sz w:val="20"/>
                <w:szCs w:val="20"/>
              </w:rPr>
              <w:t xml:space="preserve">Retrospective cancellation argument with judicial support.</w:t>
            </w:r>
          </w:p>
          <w:p>
            <w:pPr>
              <w:pStyle w:val="ListParagraph"/>
              <w:numPr>
                <w:ilvl w:val="0"/>
                <w:numId w:val="2"/>
              </w:numPr>
              <w:spacing w:after="60"/>
            </w:pPr>
            <w:r>
              <w:rPr>
                <w:rFonts w:ascii="Arial" w:cs="Arial" w:eastAsia="Arial" w:hAnsi="Arial"/>
                <w:sz w:val="20"/>
                <w:szCs w:val="20"/>
              </w:rPr>
              <w:t xml:space="preserve">CBIC circular references appearing without being prompted — circulars clarifying ITC protection for genuine recipients.</w:t>
            </w:r>
          </w:p>
          <w:p>
            <w:pPr>
              <w:pStyle w:val="ListParagraph"/>
              <w:numPr>
                <w:ilvl w:val="0"/>
                <w:numId w:val="2"/>
              </w:numPr>
              <w:spacing w:after="60"/>
            </w:pPr>
            <w:r>
              <w:rPr>
                <w:rFonts w:ascii="Arial" w:cs="Arial" w:eastAsia="Arial" w:hAnsi="Arial"/>
                <w:sz w:val="20"/>
                <w:szCs w:val="20"/>
              </w:rPr>
              <w:t xml:space="preserve">Penalty challenge under Section 73 with correct legal basis.</w:t>
            </w:r>
          </w:p>
          <w:p>
            <w:pPr>
              <w:pStyle w:val="ListParagraph"/>
              <w:numPr>
                <w:ilvl w:val="0"/>
                <w:numId w:val="2"/>
              </w:numPr>
              <w:spacing w:after="60"/>
            </w:pPr>
            <w:r>
              <w:rPr>
                <w:rFonts w:ascii="Arial" w:cs="Arial" w:eastAsia="Arial" w:hAnsi="Arial"/>
                <w:sz w:val="20"/>
                <w:szCs w:val="20"/>
              </w:rPr>
              <w:t xml:space="preserve">Complete prayer clause covering tax, interest, and penalty.</w:t>
            </w:r>
          </w:p>
          <w:p>
            <w:pPr>
              <w:pStyle w:val="ListParagraph"/>
              <w:numPr>
                <w:ilvl w:val="0"/>
                <w:numId w:val="2"/>
              </w:numPr>
              <w:spacing w:after="60"/>
            </w:pPr>
            <w:r>
              <w:rPr>
                <w:rFonts w:ascii="Arial" w:cs="Arial" w:eastAsia="Arial" w:hAnsi="Arial"/>
                <w:sz w:val="20"/>
                <w:szCs w:val="20"/>
              </w:rPr>
              <w:t xml:space="preserve">From Stage 2 prompt: Form GST APL-01 ready grounds of appeal with pre-deposit calculation (10% of Rs.18,42,000 = Rs.1,84,200).</w:t>
            </w:r>
          </w:p>
        </w:tc>
      </w:tr>
    </w:tbl>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F7A4D" w:sz="4"/>
              <w:left w:val="thick" w:color="1F7A4D" w:sz="12"/>
              <w:bottom w:val="single" w:color="1F7A4D" w:sz="4"/>
              <w:right w:val="single" w:color="1F7A4D" w:sz="4"/>
            </w:tcBorders>
            <w:shd w:fill="F0FBF5" w:val="clear"/>
            <w:tcMar>
              <w:top w:type="dxa" w:w="120"/>
              <w:left w:type="dxa" w:w="200"/>
              <w:bottom w:type="dxa" w:w="120"/>
              <w:right w:type="dxa" w:w="200"/>
            </w:tcMar>
          </w:tcPr>
          <w:p>
            <w:pPr>
              <w:spacing w:after="80"/>
            </w:pPr>
            <w:r>
              <w:rPr>
                <w:rFonts w:ascii="Arial" w:cs="Arial" w:eastAsia="Arial" w:hAnsi="Arial"/>
                <w:b/>
                <w:bCs/>
                <w:color w:val="1F7A4D"/>
                <w:sz w:val="20"/>
                <w:szCs w:val="20"/>
              </w:rPr>
              <w:t xml:space="preserve">WOW FACTOR</w:t>
            </w:r>
          </w:p>
          <w:p>
            <w:r>
              <w:rPr>
                <w:rFonts w:ascii="Arial" w:cs="Arial" w:eastAsia="Arial" w:hAnsi="Arial"/>
                <w:sz w:val="20"/>
                <w:szCs w:val="20"/>
              </w:rPr>
              <w:t xml:space="preserve">A legally structured GST reply — with Section 16(2)(c) arguments, retrospective cancellation challenge, CBIC circular references, and case law citations — drafted in under 3 minutes. The same reply would take a senior practitioner 3 to 4 hours to research and write.</w:t>
            </w:r>
          </w:p>
        </w:tc>
      </w:tr>
    </w:tbl>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0392B" w:sz="4"/>
              <w:left w:val="thick" w:color="C0392B" w:sz="12"/>
              <w:bottom w:val="single" w:color="C0392B" w:sz="4"/>
              <w:right w:val="single" w:color="C0392B" w:sz="4"/>
            </w:tcBorders>
            <w:shd w:fill="FDF2F0" w:val="clear"/>
            <w:tcMar>
              <w:top w:type="dxa" w:w="120"/>
              <w:left w:type="dxa" w:w="200"/>
              <w:bottom w:type="dxa" w:w="120"/>
              <w:right w:type="dxa" w:w="200"/>
            </w:tcMar>
          </w:tcPr>
          <w:p>
            <w:pPr>
              <w:spacing w:after="80"/>
            </w:pPr>
            <w:r>
              <w:rPr>
                <w:rFonts w:ascii="Arial" w:cs="Arial" w:eastAsia="Arial" w:hAnsi="Arial"/>
                <w:b/>
                <w:bCs/>
                <w:color w:val="C0392B"/>
                <w:sz w:val="20"/>
                <w:szCs w:val="20"/>
              </w:rPr>
              <w:t xml:space="preserve">CAUTION / LIMITATION</w:t>
            </w:r>
          </w:p>
          <w:p>
            <w:pPr>
              <w:spacing w:after="60"/>
            </w:pPr>
            <w:r>
              <w:rPr>
                <w:rFonts w:ascii="Arial" w:cs="Arial" w:eastAsia="Arial" w:hAnsi="Arial"/>
                <w:sz w:val="20"/>
                <w:szCs w:val="20"/>
              </w:rPr>
              <w:t xml:space="preserve">The GST legal position on Section 16(2)(c) and retrospective cancellation is evolving rapidly. Judgments from 2023-2025 have significantly shifted the landscape. The CA must verify that every cited judgment is current, has not been stayed or overruled, and is applicable to the specific state jurisdiction.</w:t>
            </w:r>
          </w:p>
          <w:p>
            <w:pPr>
              <w:spacing w:after="60"/>
            </w:pPr>
            <w:r>
              <w:rPr>
                <w:rFonts w:ascii="Arial" w:cs="Arial" w:eastAsia="Arial" w:hAnsi="Arial"/>
                <w:sz w:val="20"/>
                <w:szCs w:val="20"/>
              </w:rPr>
              <w:t xml:space="preserve"/>
            </w:r>
          </w:p>
          <w:p>
            <w:pPr>
              <w:spacing w:after="60"/>
            </w:pPr>
            <w:r>
              <w:rPr>
                <w:rFonts w:ascii="Arial" w:cs="Arial" w:eastAsia="Arial" w:hAnsi="Arial"/>
                <w:sz w:val="20"/>
                <w:szCs w:val="20"/>
              </w:rPr>
              <w:t xml:space="preserve">AI citations must be verified on legal databases (SCC Online, GST Council portal, Taxmann) before filing. An incorrect citation before a GST adjudicating authority damages credibility.</w:t>
            </w:r>
          </w:p>
          <w:p>
            <w:pPr>
              <w:spacing w:after="60"/>
            </w:pPr>
            <w:r>
              <w:rPr>
                <w:rFonts w:ascii="Arial" w:cs="Arial" w:eastAsia="Arial" w:hAnsi="Arial"/>
                <w:sz w:val="20"/>
                <w:szCs w:val="20"/>
              </w:rPr>
              <w:t xml:space="preserve"/>
            </w:r>
          </w:p>
          <w:p>
            <w:pPr>
              <w:spacing w:after="60"/>
            </w:pPr>
            <w:r>
              <w:rPr>
                <w:rFonts w:ascii="Arial" w:cs="Arial" w:eastAsia="Arial" w:hAnsi="Arial"/>
                <w:sz w:val="20"/>
                <w:szCs w:val="20"/>
              </w:rPr>
              <w:t xml:space="preserve">The AI generates arguments based on the facts provided. Client-specific facts — actual correspondence with suppliers, payment proofs, verification screenshots from the GST portal — must be incorporated by the CA before filing.</w:t>
            </w:r>
          </w:p>
        </w:tc>
      </w:tr>
    </w:tbl>
    <w:p>
      <w:pPr>
        <w:spacing w:after="80"/>
      </w:pPr>
      <w:r>
        <w:t xml:space="preserve"/>
      </w:r>
    </w:p>
    <w:p>
      <w:pPr>
        <w:shd w:fill="2E75B6" w:val="clear"/>
        <w:spacing w:after="0" w:before="240"/>
      </w:pPr>
      <w:r>
        <w:rPr>
          <w:rFonts w:ascii="Arial" w:cs="Arial" w:eastAsia="Arial" w:hAnsi="Arial"/>
          <w:b/>
          <w:bCs/>
          <w:color w:val="FFFFFF"/>
          <w:sz w:val="20"/>
          <w:szCs w:val="20"/>
        </w:rPr>
        <w:t xml:space="preserve">APPLICABLE SECTIONS AND LAW</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single" w:color="BBBBBB" w:sz="1"/>
              <w:left w:val="single" w:color="BBBBBB" w:sz="1"/>
              <w:bottom w:val="single" w:color="BBBBBB" w:sz="1"/>
              <w:right w:val="single" w:color="BBBBBB" w:sz="1"/>
            </w:tcBorders>
            <w:shd w:fill="F2F2F2" w:val="clear"/>
            <w:tcMar>
              <w:top w:type="dxa" w:w="80"/>
              <w:left w:type="dxa" w:w="120"/>
              <w:bottom w:type="dxa" w:w="80"/>
              <w:right w:type="dxa" w:w="120"/>
            </w:tcMar>
            <w:vAlign w:val="top"/>
          </w:tcPr>
          <w:p>
            <w:r>
              <w:rPr>
                <w:rFonts w:ascii="Arial" w:cs="Arial" w:eastAsia="Arial" w:hAnsi="Arial"/>
                <w:b/>
                <w:bCs/>
                <w:color w:val="1F3864"/>
                <w:sz w:val="20"/>
                <w:szCs w:val="20"/>
              </w:rPr>
              <w:t xml:space="preserve"/>
            </w:r>
          </w:p>
        </w:tc>
        <w:tc>
          <w:tcPr>
            <w:tcW w:type="dxa" w:w="7360"/>
            <w:tcBorders>
              <w:top w:val="single" w:color="BBBBBB" w:sz="1"/>
              <w:left w:val="single" w:color="BBBBBB" w:sz="1"/>
              <w:bottom w:val="single" w:color="BBBBBB" w:sz="1"/>
              <w:right w:val="single" w:color="BBBBBB" w:sz="1"/>
            </w:tcBorders>
            <w:shd w:fill="FFFFFF" w:val="clear"/>
            <w:tcMar>
              <w:top w:type="dxa" w:w="80"/>
              <w:left w:type="dxa" w:w="120"/>
              <w:bottom w:type="dxa" w:w="80"/>
              <w:right w:type="dxa" w:w="120"/>
            </w:tcMar>
          </w:tcPr>
          <w:p>
            <w:pPr>
              <w:pStyle w:val="ListParagraph"/>
              <w:numPr>
                <w:ilvl w:val="0"/>
                <w:numId w:val="2"/>
              </w:numPr>
              <w:spacing w:after="60"/>
            </w:pPr>
            <w:r>
              <w:rPr>
                <w:rFonts w:ascii="Arial" w:cs="Arial" w:eastAsia="Arial" w:hAnsi="Arial"/>
                <w:sz w:val="20"/>
                <w:szCs w:val="20"/>
              </w:rPr>
              <w:t xml:space="preserve">CGST Act 2017 — Section 16(2)(c) (ITC eligibility conditions)</w:t>
            </w:r>
          </w:p>
          <w:p>
            <w:pPr>
              <w:pStyle w:val="ListParagraph"/>
              <w:numPr>
                <w:ilvl w:val="0"/>
                <w:numId w:val="2"/>
              </w:numPr>
              <w:spacing w:after="60"/>
            </w:pPr>
            <w:r>
              <w:rPr>
                <w:rFonts w:ascii="Arial" w:cs="Arial" w:eastAsia="Arial" w:hAnsi="Arial"/>
                <w:sz w:val="20"/>
                <w:szCs w:val="20"/>
              </w:rPr>
              <w:t xml:space="preserve">CGST Act 2017 — Section 73 (SCN without fraud)</w:t>
            </w:r>
          </w:p>
          <w:p>
            <w:pPr>
              <w:pStyle w:val="ListParagraph"/>
              <w:numPr>
                <w:ilvl w:val="0"/>
                <w:numId w:val="2"/>
              </w:numPr>
              <w:spacing w:after="60"/>
            </w:pPr>
            <w:r>
              <w:rPr>
                <w:rFonts w:ascii="Arial" w:cs="Arial" w:eastAsia="Arial" w:hAnsi="Arial"/>
                <w:sz w:val="20"/>
                <w:szCs w:val="20"/>
              </w:rPr>
              <w:t xml:space="preserve">CGST Act 2017 — Section 74 (SCN with fraud / wilful misstatement)</w:t>
            </w:r>
          </w:p>
          <w:p>
            <w:pPr>
              <w:pStyle w:val="ListParagraph"/>
              <w:numPr>
                <w:ilvl w:val="0"/>
                <w:numId w:val="2"/>
              </w:numPr>
              <w:spacing w:after="60"/>
            </w:pPr>
            <w:r>
              <w:rPr>
                <w:rFonts w:ascii="Arial" w:cs="Arial" w:eastAsia="Arial" w:hAnsi="Arial"/>
                <w:sz w:val="20"/>
                <w:szCs w:val="20"/>
              </w:rPr>
              <w:t xml:space="preserve">CGST Act 2017 — Section 50 (Interest on delayed payment)</w:t>
            </w:r>
          </w:p>
          <w:p>
            <w:pPr>
              <w:pStyle w:val="ListParagraph"/>
              <w:numPr>
                <w:ilvl w:val="0"/>
                <w:numId w:val="2"/>
              </w:numPr>
              <w:spacing w:after="60"/>
            </w:pPr>
            <w:r>
              <w:rPr>
                <w:rFonts w:ascii="Arial" w:cs="Arial" w:eastAsia="Arial" w:hAnsi="Arial"/>
                <w:sz w:val="20"/>
                <w:szCs w:val="20"/>
              </w:rPr>
              <w:t xml:space="preserve">CGST Act 2017 — Section 107 (Appeal to Appellate Authority)</w:t>
            </w:r>
          </w:p>
          <w:p>
            <w:pPr>
              <w:pStyle w:val="ListParagraph"/>
              <w:numPr>
                <w:ilvl w:val="0"/>
                <w:numId w:val="2"/>
              </w:numPr>
              <w:spacing w:after="60"/>
            </w:pPr>
            <w:r>
              <w:rPr>
                <w:rFonts w:ascii="Arial" w:cs="Arial" w:eastAsia="Arial" w:hAnsi="Arial"/>
                <w:sz w:val="20"/>
                <w:szCs w:val="20"/>
              </w:rPr>
              <w:t xml:space="preserve">CGST Act 2017 — Section 107(6) (Pre-deposit requirement — 10%)</w:t>
            </w:r>
          </w:p>
          <w:p>
            <w:pPr>
              <w:pStyle w:val="ListParagraph"/>
              <w:numPr>
                <w:ilvl w:val="0"/>
                <w:numId w:val="2"/>
              </w:numPr>
              <w:spacing w:after="60"/>
            </w:pPr>
            <w:r>
              <w:rPr>
                <w:rFonts w:ascii="Arial" w:cs="Arial" w:eastAsia="Arial" w:hAnsi="Arial"/>
                <w:sz w:val="20"/>
                <w:szCs w:val="20"/>
              </w:rPr>
              <w:t xml:space="preserve">CBIC Circular No. 183/15/2022-GST and subsequent circulars on ITC</w:t>
            </w:r>
          </w:p>
        </w:tc>
      </w:tr>
    </w:tbl>
    <w:sectPr>
      <w:headerReference w:type="default" r:id="rId7"/>
      <w:footerReference w:type="default" r:id="rId8"/>
      <w:pgSz w:w="11906" w:h="16838" w:orient="portrait"/>
      <w:pgMar w:top="1000" w:right="1000" w:bottom="10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4" w:space="1"/>
      </w:pBdr>
    </w:pPr>
    <w:r>
      <w:rPr>
        <w:rFonts w:ascii="Arial" w:cs="Arial" w:eastAsia="Arial" w:hAnsi="Arial"/>
        <w:color w:val="999999"/>
        <w:sz w:val="14"/>
        <w:szCs w:val="14"/>
      </w:rPr>
      <w:t xml:space="preserve">Prepared by CA Deepak Bholusaria for ICAI Workshop use only. Not for public circulation.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CCCCC" w:sz="4" w:space="1"/>
      </w:pBdr>
      <w:tabs>
        <w:tab w:val="right" w:pos="9026"/>
      </w:tabs>
      <w:spacing w:after="0"/>
    </w:pPr>
    <w:r>
      <w:rPr>
        <w:rFonts w:ascii="Arial" w:cs="Arial" w:eastAsia="Arial" w:hAnsi="Arial"/>
        <w:color w:val="777777"/>
        <w:sz w:val="16"/>
        <w:szCs w:val="16"/>
      </w:rPr>
      <w:t xml:space="preserve">ICAI Workshop — AI Tools for Practising Chartered Accountants</w:t>
    </w:r>
    <w:r>
      <w:rPr>
        <w:sz w:val="16"/>
        <w:szCs w:val="16"/>
      </w:rPr>
      <w:t xml:space="preserve">	</w:t>
    </w:r>
    <w:r>
      <w:rPr>
        <w:rFonts w:ascii="Arial" w:cs="Arial" w:eastAsia="Arial" w:hAnsi="Arial"/>
        <w:color w:val="777777"/>
        <w:sz w:val="16"/>
        <w:szCs w:val="16"/>
      </w:rPr>
      <w:t xml:space="preserve">Use Case 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36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2026-05-29T09:00:34.273Z</dcterms:created>
  <dcterms:modified xsi:type="dcterms:W3CDTF">2026-05-29T09:00:34.273Z</dcterms:modified>
</cp:coreProperties>
</file>

<file path=docProps/custom.xml><?xml version="1.0" encoding="utf-8"?>
<Properties xmlns="http://schemas.openxmlformats.org/officeDocument/2006/custom-properties" xmlns:vt="http://schemas.openxmlformats.org/officeDocument/2006/docPropsVTypes"/>
</file>